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C6" w:rsidRPr="00E07C90" w:rsidRDefault="001370C6" w:rsidP="0018595F">
      <w:pPr>
        <w:rPr>
          <w:rFonts w:ascii="Arial" w:hAnsi="Arial" w:cs="Arial"/>
          <w:b/>
          <w:sz w:val="24"/>
          <w:szCs w:val="24"/>
        </w:rPr>
      </w:pPr>
      <w:r w:rsidRPr="00E07C90">
        <w:rPr>
          <w:rFonts w:ascii="Arial" w:hAnsi="Arial" w:cs="Arial"/>
          <w:b/>
          <w:bCs/>
          <w:sz w:val="24"/>
          <w:szCs w:val="24"/>
        </w:rPr>
        <w:t xml:space="preserve">NDP is offering you a voluntary Continuing Professional Development (CDP) Program for people working in the disability sector. </w:t>
      </w:r>
    </w:p>
    <w:p w:rsidR="001370C6" w:rsidRPr="00E07C90" w:rsidRDefault="001370C6" w:rsidP="001370C6">
      <w:pPr>
        <w:pStyle w:val="Pa0"/>
        <w:spacing w:after="100"/>
        <w:rPr>
          <w:rFonts w:ascii="Arial" w:hAnsi="Arial" w:cs="Arial"/>
        </w:rPr>
      </w:pPr>
      <w:r w:rsidRPr="00E07C90">
        <w:rPr>
          <w:rFonts w:ascii="Arial" w:hAnsi="Arial" w:cs="Arial"/>
        </w:rPr>
        <w:t xml:space="preserve">This program will inspire, recognise and support your learning throughout the working year. It’s designed to develop the knowledge and skills you need to excel in your job, and to improve your future employability. </w:t>
      </w:r>
    </w:p>
    <w:p w:rsidR="0018595F" w:rsidRPr="00E07C90" w:rsidRDefault="001370C6" w:rsidP="0018595F">
      <w:pPr>
        <w:rPr>
          <w:rFonts w:ascii="Arial" w:hAnsi="Arial" w:cs="Arial"/>
          <w:sz w:val="24"/>
          <w:szCs w:val="24"/>
        </w:rPr>
      </w:pPr>
      <w:r w:rsidRPr="00E07C90">
        <w:rPr>
          <w:rFonts w:ascii="Arial" w:hAnsi="Arial" w:cs="Arial"/>
          <w:sz w:val="24"/>
          <w:szCs w:val="24"/>
        </w:rPr>
        <w:t>Our CPD program will support all different kinds of learning backgrounds practitioners in the disability sector have - from those who are new to the sector, to experienced leaders or allied health professionals who may have a f</w:t>
      </w:r>
      <w:r w:rsidR="0018595F" w:rsidRPr="00E07C90">
        <w:rPr>
          <w:rFonts w:ascii="Arial" w:hAnsi="Arial" w:cs="Arial"/>
          <w:sz w:val="24"/>
          <w:szCs w:val="24"/>
        </w:rPr>
        <w:t>ormal learning background.</w:t>
      </w:r>
    </w:p>
    <w:p w:rsidR="001370C6" w:rsidRPr="00E07C90" w:rsidRDefault="001370C6" w:rsidP="0018595F">
      <w:pPr>
        <w:rPr>
          <w:rFonts w:ascii="Arial" w:hAnsi="Arial" w:cs="Arial"/>
          <w:sz w:val="24"/>
          <w:szCs w:val="24"/>
        </w:rPr>
      </w:pPr>
      <w:r w:rsidRPr="00E07C90">
        <w:rPr>
          <w:rStyle w:val="A1"/>
          <w:rFonts w:ascii="Arial" w:hAnsi="Arial" w:cs="Arial"/>
          <w:color w:val="auto"/>
          <w:sz w:val="24"/>
          <w:szCs w:val="24"/>
        </w:rPr>
        <w:t xml:space="preserve">How does it work for me? </w:t>
      </w:r>
    </w:p>
    <w:p w:rsidR="001370C6" w:rsidRPr="00E07C90" w:rsidRDefault="001370C6" w:rsidP="001370C6">
      <w:pPr>
        <w:pStyle w:val="Pa0"/>
        <w:spacing w:after="100"/>
        <w:rPr>
          <w:rFonts w:ascii="Arial" w:hAnsi="Arial" w:cs="Arial"/>
        </w:rPr>
      </w:pPr>
      <w:r w:rsidRPr="00E07C90">
        <w:rPr>
          <w:rFonts w:ascii="Arial" w:hAnsi="Arial" w:cs="Arial"/>
        </w:rPr>
        <w:t>Practitioners enrolled in the CPD program will need to collect 12 points of professional development for each calendar year to get their CPD certificate. Usually, one hour of learning equals one CPD point.</w:t>
      </w:r>
    </w:p>
    <w:p w:rsidR="001370C6" w:rsidRPr="00E07C90" w:rsidRDefault="001370C6" w:rsidP="001370C6">
      <w:pPr>
        <w:pStyle w:val="Pa0"/>
        <w:spacing w:after="100"/>
        <w:rPr>
          <w:rFonts w:ascii="Arial" w:hAnsi="Arial" w:cs="Arial"/>
        </w:rPr>
      </w:pPr>
      <w:r w:rsidRPr="00E07C90">
        <w:rPr>
          <w:rFonts w:ascii="Arial" w:hAnsi="Arial" w:cs="Arial"/>
        </w:rPr>
        <w:t xml:space="preserve">There are three categories of learning activities. Choose and complete activities within at least two categories. </w:t>
      </w:r>
    </w:p>
    <w:p w:rsidR="0018595F" w:rsidRPr="00E07C90" w:rsidRDefault="001370C6" w:rsidP="00085BB4">
      <w:pPr>
        <w:rPr>
          <w:rFonts w:ascii="Arial" w:hAnsi="Arial" w:cs="Arial"/>
          <w:sz w:val="24"/>
          <w:szCs w:val="24"/>
        </w:rPr>
      </w:pPr>
      <w:r w:rsidRPr="00E07C90">
        <w:rPr>
          <w:rFonts w:ascii="Arial" w:hAnsi="Arial" w:cs="Arial"/>
          <w:sz w:val="24"/>
          <w:szCs w:val="24"/>
        </w:rPr>
        <w:t>All the activities you complete will need to be verifiable. This means that your learning will be relevant to your career or future career aspirations. You can attach some proof that y</w:t>
      </w:r>
      <w:r w:rsidR="0018595F" w:rsidRPr="00E07C90">
        <w:rPr>
          <w:rFonts w:ascii="Arial" w:hAnsi="Arial" w:cs="Arial"/>
          <w:sz w:val="24"/>
          <w:szCs w:val="24"/>
        </w:rPr>
        <w:t>ou have completed the activity.</w:t>
      </w:r>
    </w:p>
    <w:p w:rsidR="0018595F" w:rsidRPr="00E07C90" w:rsidRDefault="00085BB4" w:rsidP="001370C6">
      <w:pPr>
        <w:rPr>
          <w:rFonts w:ascii="Arial" w:hAnsi="Arial" w:cs="Arial"/>
          <w:b/>
          <w:sz w:val="24"/>
          <w:szCs w:val="24"/>
        </w:rPr>
      </w:pPr>
      <w:r w:rsidRPr="00E07C90">
        <w:rPr>
          <w:rFonts w:ascii="Arial" w:hAnsi="Arial" w:cs="Arial"/>
          <w:b/>
          <w:sz w:val="24"/>
          <w:szCs w:val="24"/>
        </w:rPr>
        <w:t xml:space="preserve">How could </w:t>
      </w:r>
      <w:r w:rsidR="00483434" w:rsidRPr="00E07C90">
        <w:rPr>
          <w:rFonts w:ascii="Arial" w:hAnsi="Arial" w:cs="Arial"/>
          <w:b/>
          <w:i/>
          <w:sz w:val="24"/>
          <w:szCs w:val="24"/>
        </w:rPr>
        <w:t>I</w:t>
      </w:r>
      <w:r w:rsidR="00483434" w:rsidRPr="00E07C90">
        <w:rPr>
          <w:rFonts w:ascii="Arial" w:hAnsi="Arial" w:cs="Arial"/>
          <w:b/>
          <w:sz w:val="24"/>
          <w:szCs w:val="24"/>
        </w:rPr>
        <w:t xml:space="preserve"> complete my</w:t>
      </w:r>
      <w:r w:rsidRPr="00E07C90">
        <w:rPr>
          <w:rFonts w:ascii="Arial" w:hAnsi="Arial" w:cs="Arial"/>
          <w:b/>
          <w:sz w:val="24"/>
          <w:szCs w:val="24"/>
        </w:rPr>
        <w:t xml:space="preserve"> 12 CPD points?</w:t>
      </w:r>
    </w:p>
    <w:p w:rsidR="0018595F" w:rsidRPr="00E07C90" w:rsidRDefault="001370C6" w:rsidP="001370C6">
      <w:pPr>
        <w:rPr>
          <w:rFonts w:ascii="Arial" w:hAnsi="Arial" w:cs="Arial"/>
          <w:sz w:val="24"/>
          <w:szCs w:val="24"/>
        </w:rPr>
      </w:pPr>
      <w:r w:rsidRPr="00E07C90">
        <w:rPr>
          <w:rFonts w:ascii="Arial" w:hAnsi="Arial" w:cs="Arial"/>
          <w:b/>
          <w:bCs/>
          <w:sz w:val="24"/>
          <w:szCs w:val="24"/>
        </w:rPr>
        <w:t xml:space="preserve">This is Ronald. </w:t>
      </w:r>
      <w:r w:rsidRPr="00E07C90">
        <w:rPr>
          <w:rFonts w:ascii="Arial" w:hAnsi="Arial" w:cs="Arial"/>
          <w:sz w:val="24"/>
          <w:szCs w:val="24"/>
        </w:rPr>
        <w:t>Ronald is a support worker with less than one year’s experience in his job. Ronald is interested in progressing to a more senior role in his organisation, so he has chosen to go to an NDP networking event (three points), attend disability training workshops (which gives him four points), engage in disability sector webinars (two points) and read sector-sp</w:t>
      </w:r>
      <w:r w:rsidR="0018595F" w:rsidRPr="00E07C90">
        <w:rPr>
          <w:rFonts w:ascii="Arial" w:hAnsi="Arial" w:cs="Arial"/>
          <w:sz w:val="24"/>
          <w:szCs w:val="24"/>
        </w:rPr>
        <w:t>ecific articles (three points).</w:t>
      </w:r>
    </w:p>
    <w:p w:rsidR="001370C6" w:rsidRPr="00E07C90" w:rsidRDefault="001370C6" w:rsidP="00E07C90">
      <w:pPr>
        <w:rPr>
          <w:rFonts w:ascii="Arial" w:hAnsi="Arial" w:cs="Arial"/>
          <w:sz w:val="24"/>
          <w:szCs w:val="24"/>
        </w:rPr>
      </w:pPr>
      <w:r w:rsidRPr="00E07C90">
        <w:rPr>
          <w:rFonts w:ascii="Arial" w:hAnsi="Arial" w:cs="Arial"/>
          <w:b/>
          <w:bCs/>
          <w:sz w:val="24"/>
          <w:szCs w:val="24"/>
        </w:rPr>
        <w:t xml:space="preserve">Meet Maggie. </w:t>
      </w:r>
      <w:r w:rsidRPr="00E07C90">
        <w:rPr>
          <w:rFonts w:ascii="Arial" w:hAnsi="Arial" w:cs="Arial"/>
          <w:sz w:val="24"/>
          <w:szCs w:val="24"/>
        </w:rPr>
        <w:t>Maggie has been working in the disability sector for many years, and is a senior manager. Maggie wants to keep her knowledge and skills fresh, so she chose to complete her CPD points by attending a disability-related conference (four points), completing several online courses (four points) and reading disability sector fact sheets and journals (four points).</w:t>
      </w:r>
    </w:p>
    <w:p w:rsidR="00085BB4" w:rsidRPr="00E07C90" w:rsidRDefault="001370C6" w:rsidP="00E07C90">
      <w:pPr>
        <w:autoSpaceDE w:val="0"/>
        <w:autoSpaceDN w:val="0"/>
        <w:adjustRightInd w:val="0"/>
        <w:spacing w:line="241" w:lineRule="atLeast"/>
        <w:rPr>
          <w:rFonts w:ascii="Arial" w:hAnsi="Arial" w:cs="Arial"/>
          <w:sz w:val="24"/>
          <w:szCs w:val="24"/>
        </w:rPr>
      </w:pPr>
      <w:r w:rsidRPr="00E07C90">
        <w:rPr>
          <w:rFonts w:ascii="Arial" w:hAnsi="Arial" w:cs="Arial"/>
          <w:b/>
          <w:bCs/>
          <w:sz w:val="24"/>
          <w:szCs w:val="24"/>
        </w:rPr>
        <w:t xml:space="preserve">This is </w:t>
      </w:r>
      <w:proofErr w:type="gramStart"/>
      <w:r w:rsidRPr="00E07C90">
        <w:rPr>
          <w:rFonts w:ascii="Arial" w:hAnsi="Arial" w:cs="Arial"/>
          <w:b/>
          <w:bCs/>
          <w:sz w:val="24"/>
          <w:szCs w:val="24"/>
        </w:rPr>
        <w:t>Sue,</w:t>
      </w:r>
      <w:proofErr w:type="gramEnd"/>
      <w:r w:rsidRPr="00E07C90">
        <w:rPr>
          <w:rFonts w:ascii="Arial" w:hAnsi="Arial" w:cs="Arial"/>
          <w:b/>
          <w:bCs/>
          <w:sz w:val="24"/>
          <w:szCs w:val="24"/>
        </w:rPr>
        <w:t xml:space="preserve"> </w:t>
      </w:r>
      <w:r w:rsidRPr="00E07C90">
        <w:rPr>
          <w:rFonts w:ascii="Arial" w:hAnsi="Arial" w:cs="Arial"/>
          <w:sz w:val="24"/>
          <w:szCs w:val="24"/>
        </w:rPr>
        <w:t>she is new to the disability sector and looking for her first job. Sue has just finished her Certificate IV which made her eligible to claim six points. Sue then completed an Online Induction Program and two online short courses giving her another five points. With just one more point needed, Sue completed a “Zero Tolerance” online module. Simple!”</w:t>
      </w:r>
    </w:p>
    <w:p w:rsidR="001370C6" w:rsidRPr="00E07C90" w:rsidRDefault="00085BB4" w:rsidP="001370C6">
      <w:pPr>
        <w:pStyle w:val="Default"/>
        <w:rPr>
          <w:rFonts w:ascii="Arial" w:hAnsi="Arial" w:cs="Arial"/>
          <w:color w:val="auto"/>
        </w:rPr>
      </w:pPr>
      <w:r w:rsidRPr="00E07C90">
        <w:rPr>
          <w:rFonts w:ascii="Arial" w:hAnsi="Arial" w:cs="Arial"/>
          <w:color w:val="auto"/>
        </w:rPr>
        <w:t xml:space="preserve">Registering for the 2018 CPD program is quick and simple. </w:t>
      </w:r>
    </w:p>
    <w:p w:rsidR="00E07C90" w:rsidRPr="00E07C90" w:rsidRDefault="001370C6" w:rsidP="001370C6">
      <w:pPr>
        <w:rPr>
          <w:rFonts w:ascii="Arial" w:hAnsi="Arial" w:cs="Arial"/>
          <w:sz w:val="24"/>
          <w:szCs w:val="24"/>
        </w:rPr>
      </w:pPr>
      <w:r w:rsidRPr="00E07C90">
        <w:rPr>
          <w:rFonts w:ascii="Arial" w:hAnsi="Arial" w:cs="Arial"/>
          <w:sz w:val="24"/>
          <w:szCs w:val="24"/>
        </w:rPr>
        <w:t xml:space="preserve">It is only $20 for members to register and </w:t>
      </w:r>
      <w:r w:rsidRPr="00E07C90">
        <w:rPr>
          <w:rFonts w:ascii="Arial" w:hAnsi="Arial" w:cs="Arial"/>
          <w:b/>
          <w:bCs/>
          <w:sz w:val="24"/>
          <w:szCs w:val="24"/>
        </w:rPr>
        <w:t xml:space="preserve">free </w:t>
      </w:r>
      <w:r w:rsidRPr="00E07C90">
        <w:rPr>
          <w:rFonts w:ascii="Arial" w:hAnsi="Arial" w:cs="Arial"/>
          <w:sz w:val="24"/>
          <w:szCs w:val="24"/>
        </w:rPr>
        <w:t>if you work in NSW. If you are not a member we can offer membership at a discounted rate of only $40 for the year.</w:t>
      </w:r>
    </w:p>
    <w:p w:rsidR="00085BB4" w:rsidRPr="00E07C90" w:rsidRDefault="00085BB4" w:rsidP="00085BB4">
      <w:pPr>
        <w:rPr>
          <w:rFonts w:ascii="Arial" w:hAnsi="Arial" w:cs="Arial"/>
          <w:sz w:val="24"/>
          <w:szCs w:val="24"/>
        </w:rPr>
      </w:pPr>
      <w:r w:rsidRPr="00E07C90">
        <w:rPr>
          <w:rFonts w:ascii="Arial" w:hAnsi="Arial" w:cs="Arial"/>
          <w:sz w:val="24"/>
          <w:szCs w:val="24"/>
        </w:rPr>
        <w:t>As a leading association, NDP is here to help! From our Learning Hub, we offer a range of free, professional and flexible learning options to get you started. So the program should not be too difficult or expensive to undertake.</w:t>
      </w:r>
    </w:p>
    <w:p w:rsidR="00085BB4" w:rsidRPr="00E07C90" w:rsidRDefault="00085BB4" w:rsidP="00085BB4">
      <w:pPr>
        <w:rPr>
          <w:rFonts w:ascii="Arial" w:hAnsi="Arial" w:cs="Arial"/>
          <w:sz w:val="24"/>
          <w:szCs w:val="24"/>
        </w:rPr>
      </w:pPr>
      <w:r w:rsidRPr="00E07C90">
        <w:rPr>
          <w:rFonts w:ascii="Arial" w:hAnsi="Arial" w:cs="Arial"/>
          <w:sz w:val="24"/>
          <w:szCs w:val="24"/>
        </w:rPr>
        <w:t xml:space="preserve">Visit </w:t>
      </w:r>
      <w:hyperlink r:id="rId5" w:history="1">
        <w:r w:rsidR="0018595F" w:rsidRPr="00E07C90">
          <w:rPr>
            <w:rStyle w:val="Hyperlink"/>
            <w:rFonts w:ascii="Arial" w:hAnsi="Arial" w:cs="Arial"/>
            <w:b/>
            <w:color w:val="auto"/>
            <w:sz w:val="24"/>
            <w:szCs w:val="24"/>
          </w:rPr>
          <w:t>the CPD webpage</w:t>
        </w:r>
      </w:hyperlink>
      <w:r w:rsidRPr="00E07C90">
        <w:rPr>
          <w:rFonts w:ascii="Arial" w:hAnsi="Arial" w:cs="Arial"/>
          <w:sz w:val="24"/>
          <w:szCs w:val="24"/>
        </w:rPr>
        <w:t xml:space="preserve"> and complete our online form to get started today!</w:t>
      </w:r>
    </w:p>
    <w:tbl>
      <w:tblPr>
        <w:tblStyle w:val="TableGrid"/>
        <w:tblW w:w="9781" w:type="dxa"/>
        <w:tblInd w:w="-459" w:type="dxa"/>
        <w:tblLayout w:type="fixed"/>
        <w:tblLook w:val="04A0" w:firstRow="1" w:lastRow="0" w:firstColumn="1" w:lastColumn="0" w:noHBand="0" w:noVBand="1"/>
        <w:tblCaption w:val="CPD Points"/>
        <w:tblDescription w:val="This table provides a list of professional development activities as examples of how you can complete your 2018 CPD program. It describes the activity, how many points each activity is worth and the maximum amount of points you can attribute to your CPD program for that activity. "/>
      </w:tblPr>
      <w:tblGrid>
        <w:gridCol w:w="4678"/>
        <w:gridCol w:w="2126"/>
        <w:gridCol w:w="2977"/>
      </w:tblGrid>
      <w:tr w:rsidR="00E07C90" w:rsidRPr="00E07C90" w:rsidTr="00E07C90">
        <w:trPr>
          <w:tblHeader/>
        </w:trPr>
        <w:tc>
          <w:tcPr>
            <w:tcW w:w="4678" w:type="dxa"/>
          </w:tcPr>
          <w:p w:rsidR="001370C6" w:rsidRPr="00E07C90" w:rsidRDefault="001370C6" w:rsidP="00AD1094">
            <w:pPr>
              <w:pStyle w:val="ListParagraph"/>
              <w:ind w:left="0"/>
              <w:rPr>
                <w:rFonts w:ascii="Arial" w:hAnsi="Arial" w:cs="Arial"/>
                <w:sz w:val="24"/>
                <w:szCs w:val="24"/>
              </w:rPr>
            </w:pPr>
            <w:bookmarkStart w:id="0" w:name="_GoBack" w:colFirst="0" w:colLast="3"/>
            <w:r w:rsidRPr="00E07C90">
              <w:rPr>
                <w:rFonts w:ascii="Arial" w:hAnsi="Arial" w:cs="Arial"/>
                <w:sz w:val="24"/>
                <w:szCs w:val="24"/>
              </w:rPr>
              <w:lastRenderedPageBreak/>
              <w:t>Type of activity</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Points Accrued</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Points Cap (max  for 2018 CPD)</w:t>
            </w:r>
          </w:p>
        </w:tc>
      </w:tr>
      <w:tr w:rsidR="00E07C90" w:rsidRPr="00E07C90" w:rsidTr="001370C6">
        <w:tc>
          <w:tcPr>
            <w:tcW w:w="9781" w:type="dxa"/>
            <w:gridSpan w:val="3"/>
            <w:shd w:val="clear" w:color="auto" w:fill="DEEAF6" w:themeFill="accent1" w:themeFillTint="33"/>
          </w:tcPr>
          <w:p w:rsidR="001370C6" w:rsidRPr="00E07C90" w:rsidRDefault="001370C6" w:rsidP="00AD1094">
            <w:pPr>
              <w:rPr>
                <w:rFonts w:ascii="Arial" w:hAnsi="Arial" w:cs="Arial"/>
                <w:sz w:val="24"/>
                <w:szCs w:val="24"/>
              </w:rPr>
            </w:pPr>
            <w:r w:rsidRPr="00E07C90">
              <w:rPr>
                <w:rFonts w:ascii="Arial" w:hAnsi="Arial" w:cs="Arial"/>
                <w:sz w:val="24"/>
                <w:szCs w:val="24"/>
              </w:rPr>
              <w:t>Category One: Professional Activities</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Attendance at NDS/NDP Conference</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hour</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6</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Other disability-relevant conferences</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hour</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3</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Article published on the NDP website/NDP fact sheet (minimum 500 words)</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2 points per published article</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4</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Article published in a disability relevant journal or publication (minimum 500 words)</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published article</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2</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Presenting/teaching at a disability-relevant event/forum</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hour of presentation</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2</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Attendance at NDP networking event. (e.g. NDP Speed Dating)</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hour of attendance</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3</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Participation in a mentoring program</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3 points for completion of program</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3</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Participation in a disability-relevant special interest group or committee</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hour</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2</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Subscription to a disability-specific journal</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subscription</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2</w:t>
            </w:r>
          </w:p>
        </w:tc>
      </w:tr>
      <w:tr w:rsidR="00E07C90" w:rsidRPr="00E07C90" w:rsidTr="001370C6">
        <w:tc>
          <w:tcPr>
            <w:tcW w:w="9781" w:type="dxa"/>
            <w:gridSpan w:val="3"/>
            <w:shd w:val="clear" w:color="auto" w:fill="DEEAF6" w:themeFill="accent1" w:themeFillTint="33"/>
          </w:tcPr>
          <w:p w:rsidR="001370C6" w:rsidRPr="00E07C90" w:rsidRDefault="001370C6" w:rsidP="00AD1094">
            <w:pPr>
              <w:rPr>
                <w:rFonts w:ascii="Arial" w:hAnsi="Arial" w:cs="Arial"/>
                <w:sz w:val="24"/>
                <w:szCs w:val="24"/>
              </w:rPr>
            </w:pPr>
            <w:r w:rsidRPr="00E07C90">
              <w:rPr>
                <w:rFonts w:ascii="Arial" w:hAnsi="Arial" w:cs="Arial"/>
                <w:sz w:val="24"/>
                <w:szCs w:val="24"/>
              </w:rPr>
              <w:t>Category Two: Independent Learning</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Online learning</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article/factsheet</w:t>
            </w:r>
          </w:p>
          <w:p w:rsidR="001370C6" w:rsidRPr="00E07C90" w:rsidRDefault="001370C6" w:rsidP="00AD1094">
            <w:pPr>
              <w:rPr>
                <w:rFonts w:ascii="Arial" w:hAnsi="Arial" w:cs="Arial"/>
                <w:sz w:val="24"/>
                <w:szCs w:val="24"/>
              </w:rPr>
            </w:pPr>
            <w:r w:rsidRPr="00E07C90">
              <w:rPr>
                <w:rFonts w:ascii="Arial" w:hAnsi="Arial" w:cs="Arial"/>
                <w:sz w:val="24"/>
                <w:szCs w:val="24"/>
              </w:rPr>
              <w:t>1 point per NDPTV</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6</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NDP/NDS webinars</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2 points per webinar</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6</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Other disability-relevant webinars</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webinar</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4</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NDP/NDS seminars/workshops</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2 points per hour</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6</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Other disability-relevant seminars/workshops</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1 point per hour</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4</w:t>
            </w:r>
          </w:p>
        </w:tc>
      </w:tr>
      <w:tr w:rsidR="00E07C90" w:rsidRPr="00E07C90" w:rsidTr="001370C6">
        <w:tc>
          <w:tcPr>
            <w:tcW w:w="9781" w:type="dxa"/>
            <w:gridSpan w:val="3"/>
            <w:shd w:val="clear" w:color="auto" w:fill="DEEAF6" w:themeFill="accent1" w:themeFillTint="33"/>
          </w:tcPr>
          <w:p w:rsidR="001370C6" w:rsidRPr="00E07C90" w:rsidRDefault="001370C6" w:rsidP="00AD1094">
            <w:pPr>
              <w:rPr>
                <w:rFonts w:ascii="Arial" w:hAnsi="Arial" w:cs="Arial"/>
                <w:sz w:val="24"/>
                <w:szCs w:val="24"/>
              </w:rPr>
            </w:pPr>
            <w:r w:rsidRPr="00E07C90">
              <w:rPr>
                <w:rFonts w:ascii="Arial" w:hAnsi="Arial" w:cs="Arial"/>
                <w:sz w:val="24"/>
                <w:szCs w:val="24"/>
              </w:rPr>
              <w:t>Category Three: Formal Learning Activities</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RTO short courses</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2 points per day</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6</w:t>
            </w:r>
          </w:p>
        </w:tc>
      </w:tr>
      <w:tr w:rsidR="00E07C90" w:rsidRPr="00E07C90" w:rsidTr="00E07C90">
        <w:tc>
          <w:tcPr>
            <w:tcW w:w="4678" w:type="dxa"/>
          </w:tcPr>
          <w:p w:rsidR="001370C6" w:rsidRPr="00E07C90" w:rsidRDefault="001370C6" w:rsidP="00AD1094">
            <w:pPr>
              <w:rPr>
                <w:rFonts w:ascii="Arial" w:hAnsi="Arial" w:cs="Arial"/>
                <w:sz w:val="24"/>
                <w:szCs w:val="24"/>
              </w:rPr>
            </w:pPr>
            <w:r w:rsidRPr="00E07C90">
              <w:rPr>
                <w:rFonts w:ascii="Arial" w:hAnsi="Arial" w:cs="Arial"/>
                <w:sz w:val="24"/>
                <w:szCs w:val="24"/>
              </w:rPr>
              <w:t>University or TAFE Course</w:t>
            </w:r>
          </w:p>
        </w:tc>
        <w:tc>
          <w:tcPr>
            <w:tcW w:w="2126" w:type="dxa"/>
          </w:tcPr>
          <w:p w:rsidR="001370C6" w:rsidRPr="00E07C90" w:rsidRDefault="001370C6" w:rsidP="00AD1094">
            <w:pPr>
              <w:rPr>
                <w:rFonts w:ascii="Arial" w:hAnsi="Arial" w:cs="Arial"/>
                <w:sz w:val="24"/>
                <w:szCs w:val="24"/>
              </w:rPr>
            </w:pPr>
            <w:r w:rsidRPr="00E07C90">
              <w:rPr>
                <w:rFonts w:ascii="Arial" w:hAnsi="Arial" w:cs="Arial"/>
                <w:sz w:val="24"/>
                <w:szCs w:val="24"/>
              </w:rPr>
              <w:t>3 points for course 6 months or less.</w:t>
            </w:r>
          </w:p>
          <w:p w:rsidR="001370C6" w:rsidRPr="00E07C90" w:rsidRDefault="001370C6" w:rsidP="00AD1094">
            <w:pPr>
              <w:rPr>
                <w:rFonts w:ascii="Arial" w:hAnsi="Arial" w:cs="Arial"/>
                <w:sz w:val="24"/>
                <w:szCs w:val="24"/>
              </w:rPr>
            </w:pPr>
            <w:r w:rsidRPr="00E07C90">
              <w:rPr>
                <w:rFonts w:ascii="Arial" w:hAnsi="Arial" w:cs="Arial"/>
                <w:sz w:val="24"/>
                <w:szCs w:val="24"/>
              </w:rPr>
              <w:t>6 points for course over 6 months.</w:t>
            </w:r>
          </w:p>
        </w:tc>
        <w:tc>
          <w:tcPr>
            <w:tcW w:w="2977" w:type="dxa"/>
          </w:tcPr>
          <w:p w:rsidR="001370C6" w:rsidRPr="00E07C90" w:rsidRDefault="001370C6" w:rsidP="00AD1094">
            <w:pPr>
              <w:rPr>
                <w:rFonts w:ascii="Arial" w:hAnsi="Arial" w:cs="Arial"/>
                <w:sz w:val="24"/>
                <w:szCs w:val="24"/>
              </w:rPr>
            </w:pPr>
            <w:r w:rsidRPr="00E07C90">
              <w:rPr>
                <w:rFonts w:ascii="Arial" w:hAnsi="Arial" w:cs="Arial"/>
                <w:sz w:val="24"/>
                <w:szCs w:val="24"/>
              </w:rPr>
              <w:t>9</w:t>
            </w:r>
          </w:p>
        </w:tc>
      </w:tr>
      <w:bookmarkEnd w:id="0"/>
    </w:tbl>
    <w:p w:rsidR="00085BB4" w:rsidRPr="00E07C90" w:rsidRDefault="00085BB4" w:rsidP="00085BB4">
      <w:pPr>
        <w:rPr>
          <w:rFonts w:ascii="Arial" w:hAnsi="Arial" w:cs="Arial"/>
          <w:sz w:val="24"/>
          <w:szCs w:val="24"/>
        </w:rPr>
      </w:pPr>
    </w:p>
    <w:p w:rsidR="00085BB4" w:rsidRPr="00E07C90" w:rsidRDefault="00085BB4">
      <w:pPr>
        <w:rPr>
          <w:rFonts w:ascii="Arial" w:hAnsi="Arial" w:cs="Arial"/>
          <w:sz w:val="24"/>
          <w:szCs w:val="24"/>
        </w:rPr>
      </w:pPr>
    </w:p>
    <w:sectPr w:rsidR="00085BB4" w:rsidRPr="00E07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B4"/>
    <w:rsid w:val="00085BB4"/>
    <w:rsid w:val="0008664F"/>
    <w:rsid w:val="001370C6"/>
    <w:rsid w:val="0018595F"/>
    <w:rsid w:val="0024100B"/>
    <w:rsid w:val="00277A48"/>
    <w:rsid w:val="00302531"/>
    <w:rsid w:val="003F1BFF"/>
    <w:rsid w:val="00483434"/>
    <w:rsid w:val="005A4793"/>
    <w:rsid w:val="007C524E"/>
    <w:rsid w:val="007E5A44"/>
    <w:rsid w:val="008B0E64"/>
    <w:rsid w:val="00AD1094"/>
    <w:rsid w:val="00BC2028"/>
    <w:rsid w:val="00E07C90"/>
    <w:rsid w:val="00E77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BB4"/>
    <w:rPr>
      <w:color w:val="0563C1" w:themeColor="hyperlink"/>
      <w:u w:val="single"/>
    </w:rPr>
  </w:style>
  <w:style w:type="table" w:styleId="TableGrid">
    <w:name w:val="Table Grid"/>
    <w:basedOn w:val="TableNormal"/>
    <w:uiPriority w:val="39"/>
    <w:rsid w:val="0008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BB4"/>
    <w:pPr>
      <w:ind w:left="720"/>
      <w:contextualSpacing/>
    </w:pPr>
  </w:style>
  <w:style w:type="paragraph" w:customStyle="1" w:styleId="Default">
    <w:name w:val="Default"/>
    <w:rsid w:val="001370C6"/>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customStyle="1" w:styleId="Pa0">
    <w:name w:val="Pa0"/>
    <w:basedOn w:val="Default"/>
    <w:next w:val="Default"/>
    <w:uiPriority w:val="99"/>
    <w:rsid w:val="001370C6"/>
    <w:pPr>
      <w:spacing w:line="241" w:lineRule="atLeast"/>
    </w:pPr>
    <w:rPr>
      <w:rFonts w:cstheme="minorBidi"/>
      <w:color w:val="auto"/>
    </w:rPr>
  </w:style>
  <w:style w:type="character" w:customStyle="1" w:styleId="A1">
    <w:name w:val="A1"/>
    <w:uiPriority w:val="99"/>
    <w:rsid w:val="001370C6"/>
    <w:rPr>
      <w:rFonts w:cs="HelveticaNeue Condensed"/>
      <w:b/>
      <w:bCs/>
      <w:color w:val="0063B1"/>
      <w:sz w:val="28"/>
      <w:szCs w:val="28"/>
    </w:rPr>
  </w:style>
  <w:style w:type="paragraph" w:customStyle="1" w:styleId="Pa3">
    <w:name w:val="Pa3"/>
    <w:basedOn w:val="Default"/>
    <w:next w:val="Default"/>
    <w:uiPriority w:val="99"/>
    <w:rsid w:val="001370C6"/>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BB4"/>
    <w:rPr>
      <w:color w:val="0563C1" w:themeColor="hyperlink"/>
      <w:u w:val="single"/>
    </w:rPr>
  </w:style>
  <w:style w:type="table" w:styleId="TableGrid">
    <w:name w:val="Table Grid"/>
    <w:basedOn w:val="TableNormal"/>
    <w:uiPriority w:val="39"/>
    <w:rsid w:val="0008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BB4"/>
    <w:pPr>
      <w:ind w:left="720"/>
      <w:contextualSpacing/>
    </w:pPr>
  </w:style>
  <w:style w:type="paragraph" w:customStyle="1" w:styleId="Default">
    <w:name w:val="Default"/>
    <w:rsid w:val="001370C6"/>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customStyle="1" w:styleId="Pa0">
    <w:name w:val="Pa0"/>
    <w:basedOn w:val="Default"/>
    <w:next w:val="Default"/>
    <w:uiPriority w:val="99"/>
    <w:rsid w:val="001370C6"/>
    <w:pPr>
      <w:spacing w:line="241" w:lineRule="atLeast"/>
    </w:pPr>
    <w:rPr>
      <w:rFonts w:cstheme="minorBidi"/>
      <w:color w:val="auto"/>
    </w:rPr>
  </w:style>
  <w:style w:type="character" w:customStyle="1" w:styleId="A1">
    <w:name w:val="A1"/>
    <w:uiPriority w:val="99"/>
    <w:rsid w:val="001370C6"/>
    <w:rPr>
      <w:rFonts w:cs="HelveticaNeue Condensed"/>
      <w:b/>
      <w:bCs/>
      <w:color w:val="0063B1"/>
      <w:sz w:val="28"/>
      <w:szCs w:val="28"/>
    </w:rPr>
  </w:style>
  <w:style w:type="paragraph" w:customStyle="1" w:styleId="Pa3">
    <w:name w:val="Pa3"/>
    <w:basedOn w:val="Default"/>
    <w:next w:val="Default"/>
    <w:uiPriority w:val="99"/>
    <w:rsid w:val="001370C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dp.org.au/CP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F3118FEE.dotm</Template>
  <TotalTime>256</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Vertucci</dc:creator>
  <cp:lastModifiedBy>Isabelle Vertucci</cp:lastModifiedBy>
  <cp:revision>10</cp:revision>
  <dcterms:created xsi:type="dcterms:W3CDTF">2018-02-08T02:05:00Z</dcterms:created>
  <dcterms:modified xsi:type="dcterms:W3CDTF">2018-03-14T00:32:00Z</dcterms:modified>
</cp:coreProperties>
</file>